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CCD5" w14:textId="0488A8B7" w:rsidR="005401A8" w:rsidRPr="005401A8" w:rsidRDefault="005401A8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 w:rsidRPr="005401A8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 xml:space="preserve">Activity </w:t>
      </w:r>
      <w:r w:rsidR="00987D11"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1A</w:t>
      </w:r>
    </w:p>
    <w:p w14:paraId="2C51BFCE" w14:textId="0E354533" w:rsidR="005401A8" w:rsidRPr="005401A8" w:rsidRDefault="00987D11" w:rsidP="005401A8">
      <w:pP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Cs w:val="22"/>
          <w:lang w:eastAsia="en-US"/>
        </w:rPr>
        <w:t>Piaget</w:t>
      </w:r>
    </w:p>
    <w:p w14:paraId="573803B2" w14:textId="34120BAE" w:rsidR="005401A8" w:rsidRPr="005401A8" w:rsidRDefault="00906A94" w:rsidP="005401A8">
      <w:pPr>
        <w:rPr>
          <w:rFonts w:asciiTheme="minorHAnsi" w:eastAsiaTheme="minorHAnsi" w:hAnsiTheme="minorHAnsi" w:cstheme="minorBidi"/>
          <w:color w:val="auto"/>
          <w:szCs w:val="22"/>
          <w:lang w:eastAsia="en-US"/>
        </w:rPr>
      </w:pPr>
      <w:r w:rsidRPr="00906A94">
        <w:rPr>
          <w:rFonts w:asciiTheme="minorHAnsi" w:eastAsiaTheme="minorHAnsi" w:hAnsiTheme="minorHAnsi" w:cstheme="minorBidi"/>
          <w:color w:val="auto"/>
          <w:szCs w:val="22"/>
          <w:lang w:eastAsia="en-US"/>
        </w:rPr>
        <w:t>Research Piaget’s cognitive theory stage further and add the stage</w:t>
      </w:r>
      <w:r>
        <w:rPr>
          <w:rFonts w:asciiTheme="minorHAnsi" w:eastAsiaTheme="minorHAnsi" w:hAnsiTheme="minorHAnsi" w:cstheme="minorBidi"/>
          <w:color w:val="auto"/>
          <w:szCs w:val="22"/>
          <w:lang w:eastAsia="en-US"/>
        </w:rPr>
        <w:t xml:space="preserve"> in the column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1342"/>
        <w:gridCol w:w="2107"/>
        <w:gridCol w:w="3628"/>
      </w:tblGrid>
      <w:tr w:rsidR="007F015B" w:rsidRPr="005401A8" w14:paraId="3DB3E4EC" w14:textId="77777777" w:rsidTr="007F015B">
        <w:tc>
          <w:tcPr>
            <w:tcW w:w="1933" w:type="dxa"/>
            <w:shd w:val="clear" w:color="auto" w:fill="BFBFBF" w:themeFill="background1" w:themeFillShade="BF"/>
          </w:tcPr>
          <w:p w14:paraId="6C5FA3B1" w14:textId="04703BE0" w:rsidR="005401A8" w:rsidRPr="005401A8" w:rsidRDefault="00F63D70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Stage</w:t>
            </w:r>
          </w:p>
        </w:tc>
        <w:tc>
          <w:tcPr>
            <w:tcW w:w="1342" w:type="dxa"/>
            <w:shd w:val="clear" w:color="auto" w:fill="BFBFBF" w:themeFill="background1" w:themeFillShade="BF"/>
          </w:tcPr>
          <w:p w14:paraId="2C17AD18" w14:textId="445F55A1" w:rsidR="005401A8" w:rsidRPr="005401A8" w:rsidRDefault="00F63D70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Age</w:t>
            </w:r>
          </w:p>
        </w:tc>
        <w:tc>
          <w:tcPr>
            <w:tcW w:w="2107" w:type="dxa"/>
            <w:shd w:val="clear" w:color="auto" w:fill="BFBFBF" w:themeFill="background1" w:themeFillShade="BF"/>
          </w:tcPr>
          <w:p w14:paraId="29BB1AB7" w14:textId="47195015" w:rsidR="005401A8" w:rsidRPr="005401A8" w:rsidRDefault="00F63D70" w:rsidP="00F63D7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Required outcome</w:t>
            </w:r>
          </w:p>
        </w:tc>
        <w:tc>
          <w:tcPr>
            <w:tcW w:w="3628" w:type="dxa"/>
            <w:shd w:val="clear" w:color="auto" w:fill="BFBFBF" w:themeFill="background1" w:themeFillShade="BF"/>
          </w:tcPr>
          <w:p w14:paraId="3A3AB5AD" w14:textId="77777777" w:rsidR="005401A8" w:rsidRDefault="00F63D70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Description</w:t>
            </w:r>
          </w:p>
          <w:p w14:paraId="09FCAE35" w14:textId="48ECA9CB" w:rsidR="007F015B" w:rsidRPr="005401A8" w:rsidRDefault="007F015B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</w:p>
        </w:tc>
      </w:tr>
      <w:tr w:rsidR="005401A8" w:rsidRPr="005401A8" w14:paraId="4356CB5F" w14:textId="77777777" w:rsidTr="007F015B">
        <w:tc>
          <w:tcPr>
            <w:tcW w:w="1933" w:type="dxa"/>
          </w:tcPr>
          <w:p w14:paraId="3961F805" w14:textId="77777777" w:rsidR="005401A8" w:rsidRPr="005401A8" w:rsidRDefault="005401A8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  <w:p w14:paraId="1F7D888D" w14:textId="716D3675" w:rsidR="005401A8" w:rsidRPr="005401A8" w:rsidRDefault="005401A8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  <w:p w14:paraId="2DEC5367" w14:textId="77777777" w:rsidR="005401A8" w:rsidRPr="005401A8" w:rsidRDefault="005401A8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  <w:p w14:paraId="5E486983" w14:textId="77777777" w:rsidR="005401A8" w:rsidRPr="005401A8" w:rsidRDefault="005401A8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42" w:type="dxa"/>
          </w:tcPr>
          <w:p w14:paraId="76A8DCC8" w14:textId="77777777" w:rsidR="00AF1AE9" w:rsidRPr="00AF1AE9" w:rsidRDefault="00AF1AE9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AF1AE9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Birth to</w:t>
            </w:r>
          </w:p>
          <w:p w14:paraId="472AD3DA" w14:textId="77777777" w:rsidR="00AF1AE9" w:rsidRPr="00AF1AE9" w:rsidRDefault="00AF1AE9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AF1AE9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18–24</w:t>
            </w:r>
          </w:p>
          <w:p w14:paraId="1B04B14A" w14:textId="510E1AF3" w:rsidR="005401A8" w:rsidRPr="005401A8" w:rsidRDefault="00AF1AE9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  <w:r w:rsidRPr="00AF1AE9">
              <w:rPr>
                <w:rFonts w:asciiTheme="minorHAnsi" w:eastAsiaTheme="minorHAnsi" w:hAnsiTheme="minorHAnsi" w:cstheme="minorBidi"/>
                <w:color w:val="auto"/>
              </w:rPr>
              <w:t>months old</w:t>
            </w:r>
          </w:p>
        </w:tc>
        <w:tc>
          <w:tcPr>
            <w:tcW w:w="2107" w:type="dxa"/>
          </w:tcPr>
          <w:p w14:paraId="1E123089" w14:textId="3894B39D" w:rsidR="005401A8" w:rsidRPr="005401A8" w:rsidRDefault="00906A94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  <w:r w:rsidRPr="00906A94">
              <w:rPr>
                <w:rFonts w:asciiTheme="minorHAnsi" w:eastAsiaTheme="minorHAnsi" w:hAnsiTheme="minorHAnsi" w:cstheme="minorBidi"/>
                <w:color w:val="auto"/>
              </w:rPr>
              <w:t>Object permanenc</w:t>
            </w:r>
            <w:r>
              <w:rPr>
                <w:rFonts w:asciiTheme="minorHAnsi" w:eastAsiaTheme="minorHAnsi" w:hAnsiTheme="minorHAnsi" w:cstheme="minorBidi"/>
                <w:color w:val="auto"/>
              </w:rPr>
              <w:t>e</w:t>
            </w:r>
          </w:p>
        </w:tc>
        <w:tc>
          <w:tcPr>
            <w:tcW w:w="3628" w:type="dxa"/>
          </w:tcPr>
          <w:p w14:paraId="574E33F9" w14:textId="77777777" w:rsidR="00840934" w:rsidRPr="00840934" w:rsidRDefault="00840934" w:rsidP="00840934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840934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Learning is through physical</w:t>
            </w:r>
          </w:p>
          <w:p w14:paraId="3ADCCAA4" w14:textId="25F17E1F" w:rsidR="005401A8" w:rsidRPr="005401A8" w:rsidRDefault="00840934" w:rsidP="003041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  <w:r w:rsidRPr="00840934">
              <w:rPr>
                <w:rFonts w:asciiTheme="minorHAnsi" w:eastAsiaTheme="minorHAnsi" w:hAnsiTheme="minorHAnsi" w:cstheme="minorBidi"/>
                <w:color w:val="auto"/>
              </w:rPr>
              <w:t>experience with the environment</w:t>
            </w:r>
            <w:r w:rsidR="003041E1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840934">
              <w:rPr>
                <w:rFonts w:asciiTheme="minorHAnsi" w:eastAsiaTheme="minorHAnsi" w:hAnsiTheme="minorHAnsi" w:cstheme="minorBidi"/>
                <w:color w:val="auto"/>
              </w:rPr>
              <w:t>and self. No use of symbols or</w:t>
            </w:r>
            <w:r w:rsidR="003041E1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840934">
              <w:rPr>
                <w:rFonts w:asciiTheme="minorHAnsi" w:eastAsiaTheme="minorHAnsi" w:hAnsiTheme="minorHAnsi" w:cstheme="minorBidi"/>
                <w:color w:val="auto"/>
              </w:rPr>
              <w:t>symbolic elements</w:t>
            </w:r>
          </w:p>
        </w:tc>
      </w:tr>
      <w:tr w:rsidR="005401A8" w:rsidRPr="005401A8" w14:paraId="1B7B4D7C" w14:textId="77777777" w:rsidTr="007F015B">
        <w:tc>
          <w:tcPr>
            <w:tcW w:w="1933" w:type="dxa"/>
          </w:tcPr>
          <w:p w14:paraId="4C9D23FF" w14:textId="77777777" w:rsidR="005401A8" w:rsidRPr="005401A8" w:rsidRDefault="005401A8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42" w:type="dxa"/>
          </w:tcPr>
          <w:p w14:paraId="42130EF5" w14:textId="77777777" w:rsidR="00AF1AE9" w:rsidRPr="00AF1AE9" w:rsidRDefault="00AF1AE9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AF1AE9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2 to 7</w:t>
            </w:r>
          </w:p>
          <w:p w14:paraId="5B57018E" w14:textId="70319DA0" w:rsidR="005401A8" w:rsidRPr="005401A8" w:rsidRDefault="00AF1AE9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  <w:r w:rsidRPr="00AF1AE9">
              <w:rPr>
                <w:rFonts w:asciiTheme="minorHAnsi" w:eastAsiaTheme="minorHAnsi" w:hAnsiTheme="minorHAnsi" w:cstheme="minorBidi"/>
                <w:color w:val="auto"/>
              </w:rPr>
              <w:t>years old</w:t>
            </w:r>
          </w:p>
          <w:p w14:paraId="33E393B5" w14:textId="77777777" w:rsidR="005401A8" w:rsidRPr="005401A8" w:rsidRDefault="005401A8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  <w:p w14:paraId="3CA6488B" w14:textId="77777777" w:rsidR="005401A8" w:rsidRPr="005401A8" w:rsidRDefault="005401A8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107" w:type="dxa"/>
          </w:tcPr>
          <w:p w14:paraId="5239C267" w14:textId="61BB6B62" w:rsidR="00840934" w:rsidRPr="005401A8" w:rsidRDefault="00840934" w:rsidP="00840934">
            <w:pPr>
              <w:rPr>
                <w:rFonts w:asciiTheme="minorHAnsi" w:eastAsiaTheme="minorHAnsi" w:hAnsiTheme="minorHAnsi" w:cstheme="minorBidi"/>
              </w:rPr>
            </w:pPr>
            <w:r w:rsidRPr="00840934">
              <w:rPr>
                <w:rFonts w:asciiTheme="minorHAnsi" w:eastAsiaTheme="minorHAnsi" w:hAnsiTheme="minorHAnsi" w:cstheme="minorBidi"/>
              </w:rPr>
              <w:t>Symbolic thought</w:t>
            </w:r>
          </w:p>
        </w:tc>
        <w:tc>
          <w:tcPr>
            <w:tcW w:w="3628" w:type="dxa"/>
          </w:tcPr>
          <w:p w14:paraId="3F9B3A2B" w14:textId="77777777" w:rsidR="003041E1" w:rsidRPr="003041E1" w:rsidRDefault="003041E1" w:rsidP="003041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3041E1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The development of memory</w:t>
            </w:r>
          </w:p>
          <w:p w14:paraId="4113554B" w14:textId="77777777" w:rsidR="003041E1" w:rsidRPr="003041E1" w:rsidRDefault="003041E1" w:rsidP="003041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3041E1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and imagination in play. It is</w:t>
            </w:r>
          </w:p>
          <w:p w14:paraId="330262D0" w14:textId="1FD6576C" w:rsidR="003041E1" w:rsidRPr="003041E1" w:rsidRDefault="003041E1" w:rsidP="003041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3041E1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egocentric by nature. It is the use</w:t>
            </w:r>
            <w:r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 xml:space="preserve"> </w:t>
            </w:r>
            <w:r w:rsidRPr="003041E1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of objects to connect to language,</w:t>
            </w:r>
            <w:r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 xml:space="preserve"> </w:t>
            </w:r>
            <w:r w:rsidRPr="003041E1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memory, modelling and individual</w:t>
            </w:r>
            <w:r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 xml:space="preserve"> </w:t>
            </w:r>
            <w:r w:rsidRPr="003041E1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meanings.</w:t>
            </w:r>
          </w:p>
          <w:p w14:paraId="0CE3D551" w14:textId="16B2CA91" w:rsidR="005401A8" w:rsidRPr="005401A8" w:rsidRDefault="003041E1" w:rsidP="003041E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  <w:r w:rsidRPr="003041E1">
              <w:rPr>
                <w:rFonts w:asciiTheme="minorHAnsi" w:eastAsiaTheme="minorHAnsi" w:hAnsiTheme="minorHAnsi" w:cstheme="minorBidi"/>
                <w:color w:val="auto"/>
              </w:rPr>
              <w:t>An example of this thinking is the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041E1">
              <w:rPr>
                <w:rFonts w:asciiTheme="minorHAnsi" w:eastAsiaTheme="minorHAnsi" w:hAnsiTheme="minorHAnsi" w:cstheme="minorBidi"/>
                <w:color w:val="auto"/>
              </w:rPr>
              <w:t>classic two balls experiment. You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041E1">
              <w:rPr>
                <w:rFonts w:asciiTheme="minorHAnsi" w:eastAsiaTheme="minorHAnsi" w:hAnsiTheme="minorHAnsi" w:cstheme="minorBidi"/>
                <w:color w:val="auto"/>
              </w:rPr>
              <w:t>give a child two balls of equal size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041E1">
              <w:rPr>
                <w:rFonts w:asciiTheme="minorHAnsi" w:eastAsiaTheme="minorHAnsi" w:hAnsiTheme="minorHAnsi" w:cstheme="minorBidi"/>
                <w:color w:val="auto"/>
              </w:rPr>
              <w:t>and weight, roll one into a long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041E1">
              <w:rPr>
                <w:rFonts w:asciiTheme="minorHAnsi" w:eastAsiaTheme="minorHAnsi" w:hAnsiTheme="minorHAnsi" w:cstheme="minorBidi"/>
                <w:color w:val="auto"/>
              </w:rPr>
              <w:t>sausage and the child will think the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041E1">
              <w:rPr>
                <w:rFonts w:asciiTheme="minorHAnsi" w:eastAsiaTheme="minorHAnsi" w:hAnsiTheme="minorHAnsi" w:cstheme="minorBidi"/>
                <w:color w:val="auto"/>
              </w:rPr>
              <w:t>sausage is bigger due to its form.</w:t>
            </w:r>
          </w:p>
        </w:tc>
      </w:tr>
      <w:tr w:rsidR="005401A8" w:rsidRPr="005401A8" w14:paraId="5CECD163" w14:textId="77777777" w:rsidTr="007F015B">
        <w:tc>
          <w:tcPr>
            <w:tcW w:w="1933" w:type="dxa"/>
          </w:tcPr>
          <w:p w14:paraId="29691CC2" w14:textId="77777777" w:rsidR="005401A8" w:rsidRPr="005401A8" w:rsidRDefault="005401A8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42" w:type="dxa"/>
          </w:tcPr>
          <w:p w14:paraId="2FE6CA32" w14:textId="77777777" w:rsidR="00AF1AE9" w:rsidRPr="00AF1AE9" w:rsidRDefault="00AF1AE9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AF1AE9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7 to</w:t>
            </w:r>
          </w:p>
          <w:p w14:paraId="43E7A15A" w14:textId="77777777" w:rsidR="00AF1AE9" w:rsidRPr="00AF1AE9" w:rsidRDefault="00AF1AE9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AF1AE9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11 years</w:t>
            </w:r>
          </w:p>
          <w:p w14:paraId="64899EEA" w14:textId="2825D496" w:rsidR="005401A8" w:rsidRPr="005401A8" w:rsidRDefault="00AF1AE9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  <w:r w:rsidRPr="00AF1AE9">
              <w:rPr>
                <w:rFonts w:asciiTheme="minorHAnsi" w:eastAsiaTheme="minorHAnsi" w:hAnsiTheme="minorHAnsi" w:cstheme="minorBidi"/>
                <w:color w:val="auto"/>
              </w:rPr>
              <w:t>old</w:t>
            </w:r>
          </w:p>
          <w:p w14:paraId="0EA25A4B" w14:textId="77777777" w:rsidR="005401A8" w:rsidRPr="005401A8" w:rsidRDefault="005401A8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107" w:type="dxa"/>
          </w:tcPr>
          <w:p w14:paraId="056E9636" w14:textId="650BB4E2" w:rsidR="005401A8" w:rsidRPr="005401A8" w:rsidRDefault="00840934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  <w:r w:rsidRPr="00840934">
              <w:rPr>
                <w:rFonts w:asciiTheme="minorHAnsi" w:eastAsiaTheme="minorHAnsi" w:hAnsiTheme="minorHAnsi" w:cstheme="minorBidi"/>
                <w:color w:val="auto"/>
              </w:rPr>
              <w:t>Operation thought</w:t>
            </w:r>
          </w:p>
        </w:tc>
        <w:tc>
          <w:tcPr>
            <w:tcW w:w="3628" w:type="dxa"/>
          </w:tcPr>
          <w:p w14:paraId="6EC6A621" w14:textId="77777777" w:rsidR="003E4F35" w:rsidRPr="003E4F35" w:rsidRDefault="003E4F35" w:rsidP="003E4F3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3E4F35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Beginning to understand the</w:t>
            </w:r>
          </w:p>
          <w:p w14:paraId="55E035B3" w14:textId="77777777" w:rsidR="003E4F35" w:rsidRPr="003E4F35" w:rsidRDefault="003E4F35" w:rsidP="003E4F35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3E4F35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viewpoints, thoughts, feelings</w:t>
            </w:r>
          </w:p>
          <w:p w14:paraId="7E855A79" w14:textId="479B4FA4" w:rsidR="005401A8" w:rsidRPr="005401A8" w:rsidRDefault="003E4F35" w:rsidP="007F015B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  <w:r w:rsidRPr="003E4F35">
              <w:rPr>
                <w:rFonts w:asciiTheme="minorHAnsi" w:eastAsiaTheme="minorHAnsi" w:hAnsiTheme="minorHAnsi" w:cstheme="minorBidi"/>
                <w:color w:val="auto"/>
              </w:rPr>
              <w:t>and needs of others. Using logical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E4F35">
              <w:rPr>
                <w:rFonts w:asciiTheme="minorHAnsi" w:eastAsiaTheme="minorHAnsi" w:hAnsiTheme="minorHAnsi" w:cstheme="minorBidi"/>
                <w:color w:val="auto"/>
              </w:rPr>
              <w:t>and methodical manipulation of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E4F35">
              <w:rPr>
                <w:rFonts w:asciiTheme="minorHAnsi" w:eastAsiaTheme="minorHAnsi" w:hAnsiTheme="minorHAnsi" w:cstheme="minorBidi"/>
                <w:color w:val="auto"/>
              </w:rPr>
              <w:t>symbols, they begin to problems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E4F35">
              <w:rPr>
                <w:rFonts w:asciiTheme="minorHAnsi" w:eastAsiaTheme="minorHAnsi" w:hAnsiTheme="minorHAnsi" w:cstheme="minorBidi"/>
                <w:color w:val="auto"/>
              </w:rPr>
              <w:t>solve in their head. Ideally, at this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E4F35">
              <w:rPr>
                <w:rFonts w:asciiTheme="minorHAnsi" w:eastAsiaTheme="minorHAnsi" w:hAnsiTheme="minorHAnsi" w:cstheme="minorBidi"/>
                <w:color w:val="auto"/>
              </w:rPr>
              <w:t>point, they are working towards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E4F35">
              <w:rPr>
                <w:rFonts w:asciiTheme="minorHAnsi" w:eastAsiaTheme="minorHAnsi" w:hAnsiTheme="minorHAnsi" w:cstheme="minorBidi"/>
                <w:color w:val="auto"/>
              </w:rPr>
              <w:t>the outcome of skills needed to</w:t>
            </w:r>
            <w:r w:rsidR="007F015B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E4F35">
              <w:rPr>
                <w:rFonts w:asciiTheme="minorHAnsi" w:eastAsiaTheme="minorHAnsi" w:hAnsiTheme="minorHAnsi" w:cstheme="minorBidi"/>
                <w:color w:val="auto"/>
              </w:rPr>
              <w:t>work out problems without having</w:t>
            </w:r>
            <w:r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3E4F35">
              <w:rPr>
                <w:rFonts w:asciiTheme="minorHAnsi" w:eastAsiaTheme="minorHAnsi" w:hAnsiTheme="minorHAnsi" w:cstheme="minorBidi"/>
                <w:color w:val="auto"/>
              </w:rPr>
              <w:t>to physically encounter them.</w:t>
            </w:r>
          </w:p>
        </w:tc>
      </w:tr>
      <w:tr w:rsidR="005401A8" w:rsidRPr="005401A8" w14:paraId="2BCCF674" w14:textId="77777777" w:rsidTr="007F015B">
        <w:tc>
          <w:tcPr>
            <w:tcW w:w="1933" w:type="dxa"/>
          </w:tcPr>
          <w:p w14:paraId="58DDA4AE" w14:textId="77777777" w:rsidR="005401A8" w:rsidRPr="005401A8" w:rsidRDefault="005401A8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342" w:type="dxa"/>
          </w:tcPr>
          <w:p w14:paraId="1995C753" w14:textId="77777777" w:rsidR="00AF1AE9" w:rsidRPr="00AF1AE9" w:rsidRDefault="00AF1AE9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AF1AE9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Adolescence</w:t>
            </w:r>
          </w:p>
          <w:p w14:paraId="576ED059" w14:textId="220C89D4" w:rsidR="005401A8" w:rsidRPr="005401A8" w:rsidRDefault="00AF1AE9" w:rsidP="00AF1AE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  <w:r w:rsidRPr="00AF1AE9">
              <w:rPr>
                <w:rFonts w:asciiTheme="minorHAnsi" w:eastAsiaTheme="minorHAnsi" w:hAnsiTheme="minorHAnsi" w:cstheme="minorBidi"/>
                <w:color w:val="auto"/>
              </w:rPr>
              <w:t>to adulthood</w:t>
            </w:r>
          </w:p>
          <w:p w14:paraId="513BBDEC" w14:textId="77777777" w:rsidR="005401A8" w:rsidRPr="005401A8" w:rsidRDefault="005401A8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107" w:type="dxa"/>
          </w:tcPr>
          <w:p w14:paraId="7BF1ED88" w14:textId="5C548419" w:rsidR="005401A8" w:rsidRPr="005401A8" w:rsidRDefault="00840934" w:rsidP="005401A8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  <w:r w:rsidRPr="00840934">
              <w:rPr>
                <w:rFonts w:asciiTheme="minorHAnsi" w:eastAsiaTheme="minorHAnsi" w:hAnsiTheme="minorHAnsi" w:cstheme="minorBidi"/>
                <w:color w:val="auto"/>
              </w:rPr>
              <w:t>Abstract concepts</w:t>
            </w:r>
          </w:p>
        </w:tc>
        <w:tc>
          <w:tcPr>
            <w:tcW w:w="3628" w:type="dxa"/>
          </w:tcPr>
          <w:p w14:paraId="20AD0637" w14:textId="77777777" w:rsidR="007F015B" w:rsidRPr="007F015B" w:rsidRDefault="007F015B" w:rsidP="007F015B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7F015B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Able to make hypotheses and</w:t>
            </w:r>
          </w:p>
          <w:p w14:paraId="28D41E42" w14:textId="77777777" w:rsidR="007F015B" w:rsidRPr="007F015B" w:rsidRDefault="007F015B" w:rsidP="007F015B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7F015B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use symbols, abstract concepts</w:t>
            </w:r>
          </w:p>
          <w:p w14:paraId="6C999F3E" w14:textId="77777777" w:rsidR="007F015B" w:rsidRPr="007F015B" w:rsidRDefault="007F015B" w:rsidP="007F015B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</w:pPr>
            <w:r w:rsidRPr="007F015B">
              <w:rPr>
                <w:rFonts w:asciiTheme="minorHAnsi" w:eastAsiaTheme="minorHAnsi" w:hAnsiTheme="minorHAnsi" w:cstheme="minorBidi"/>
                <w:color w:val="auto"/>
                <w:szCs w:val="22"/>
                <w:lang w:eastAsia="en-US"/>
              </w:rPr>
              <w:t>and connect relationships using</w:t>
            </w:r>
          </w:p>
          <w:p w14:paraId="0B3282B4" w14:textId="5C7F027C" w:rsidR="005401A8" w:rsidRPr="005401A8" w:rsidRDefault="007F015B" w:rsidP="007F015B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</w:rPr>
            </w:pPr>
            <w:r w:rsidRPr="007F015B">
              <w:rPr>
                <w:rFonts w:asciiTheme="minorHAnsi" w:eastAsiaTheme="minorHAnsi" w:hAnsiTheme="minorHAnsi" w:cstheme="minorBidi"/>
                <w:color w:val="auto"/>
              </w:rPr>
              <w:t>schemas and multiple variables.</w:t>
            </w:r>
          </w:p>
        </w:tc>
      </w:tr>
    </w:tbl>
    <w:p w14:paraId="38DEF4B5" w14:textId="2CF55999" w:rsidR="002750FA" w:rsidRDefault="002750FA" w:rsidP="00CA7037">
      <w:pPr>
        <w:spacing w:after="0"/>
        <w:ind w:right="89"/>
      </w:pPr>
    </w:p>
    <w:sectPr w:rsidR="002750FA" w:rsidSect="00CA7037">
      <w:pgSz w:w="11900" w:h="16840"/>
      <w:pgMar w:top="1418" w:right="1440" w:bottom="3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TExNTE2MjezNDNU0lEKTi0uzszPAykwqgUAGXQL2ywAAAA="/>
  </w:docVars>
  <w:rsids>
    <w:rsidRoot w:val="002750FA"/>
    <w:rsid w:val="00071835"/>
    <w:rsid w:val="002750FA"/>
    <w:rsid w:val="003041E1"/>
    <w:rsid w:val="00305063"/>
    <w:rsid w:val="003E4F35"/>
    <w:rsid w:val="005401A8"/>
    <w:rsid w:val="007C1183"/>
    <w:rsid w:val="007F015B"/>
    <w:rsid w:val="00840934"/>
    <w:rsid w:val="00906A94"/>
    <w:rsid w:val="00987D11"/>
    <w:rsid w:val="00AF1AE9"/>
    <w:rsid w:val="00CA7037"/>
    <w:rsid w:val="00F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A7E7"/>
  <w15:docId w15:val="{05AC1548-B37D-9146-9F05-7D8CFD4C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1A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CHCECE042 Learner Guide - High Res V1_0 (ID 188004)</dc:title>
  <dc:subject/>
  <dc:creator>Rachael Trbovic</dc:creator>
  <cp:keywords/>
  <cp:lastModifiedBy>Prudence Bessant</cp:lastModifiedBy>
  <cp:revision>12</cp:revision>
  <dcterms:created xsi:type="dcterms:W3CDTF">2022-12-16T06:08:00Z</dcterms:created>
  <dcterms:modified xsi:type="dcterms:W3CDTF">2022-12-17T03:48:00Z</dcterms:modified>
</cp:coreProperties>
</file>